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LITIGACIÓN APLICADA EN DERECHO CONSTITUCIONAL, PENAL, CIVIL, FAMILIAR Y LABORAL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LITIGACIÓN APLICADA EN DERECHO CONSTITUCIONAL, PENAL, CIVIL, FAMILIAR Y LABORAL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LITIGACIÓN APLICADA EN DERECHO CONSTITUCIONAL, PENAL, CIVIL, FAMILIAR Y LABORAL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LITIGACIÓN APLICADA EN DERECHO CONSTITUCIONAL, PENAL, CIVIL, FAMILIAR Y LABORAL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