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BASADA EN COMPETENCIAS CON INTEGRACIÓN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BASADA EN COMPETENCIAS CON INTEGRACIÓN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BASADA EN COMPETENCIAS CON INTEGRACIÓN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BASADA EN COMPETENCIAS CON INTEGRACIÓN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